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2CB" w:rsidRDefault="000842CB" w:rsidP="000842CB">
      <w:pPr>
        <w:ind w:firstLine="420"/>
        <w:rPr>
          <w:rFonts w:hint="eastAsia"/>
        </w:rPr>
      </w:pPr>
      <w:r>
        <w:rPr>
          <w:rFonts w:ascii="微软雅黑" w:eastAsia="微软雅黑" w:hAnsi="微软雅黑" w:hint="eastAsia"/>
          <w:b/>
          <w:bCs/>
          <w:color w:val="010101"/>
          <w:sz w:val="23"/>
          <w:szCs w:val="23"/>
        </w:rPr>
        <w:t>电化学气体传感器使用时的注意事项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请在使用规格允许范围内使用</w:t>
      </w:r>
      <w:r w:rsidRPr="00F1338E">
        <w:rPr>
          <w:rFonts w:hint="eastAsia"/>
          <w:color w:val="333333"/>
          <w:sz w:val="20"/>
          <w:szCs w:val="20"/>
        </w:rPr>
        <w:t>;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气体灵敏度测定时，请在洁净的大气中进行；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直接把测定气体对传感器的通气面强烈吹风的状态下测定时，对气体的灵敏度将会很高。气体灵敏度测定时，应避免测定气体从正面吹来；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管脚禁止折断和弯曲；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气体的通气面不要阻塞、不要污染，有时孔堵塞是导致灵敏度低下的原因；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不可过度的撞击或震动；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外壳有损伤等情况下请不要使用；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高浓度的气体环境中长时间使用后恢复到初期状态较缓慢；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传感器避免接触有机溶剂、涂料、药剂、油类及高浓度气体；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电解液泄漏会造成损害，请不要随意拆开传感器；</w:t>
      </w:r>
    </w:p>
    <w:p w:rsidR="000842CB" w:rsidRPr="00F1338E" w:rsidRDefault="000842CB" w:rsidP="000842CB">
      <w:pPr>
        <w:pStyle w:val="a3"/>
        <w:numPr>
          <w:ilvl w:val="0"/>
          <w:numId w:val="1"/>
        </w:numPr>
        <w:ind w:firstLineChars="0"/>
        <w:rPr>
          <w:rFonts w:hint="eastAsia"/>
          <w:color w:val="333333"/>
          <w:sz w:val="20"/>
          <w:szCs w:val="20"/>
        </w:rPr>
      </w:pPr>
      <w:r w:rsidRPr="00F1338E">
        <w:rPr>
          <w:rFonts w:hint="eastAsia"/>
          <w:color w:val="333333"/>
          <w:sz w:val="20"/>
          <w:szCs w:val="20"/>
        </w:rPr>
        <w:t>传感器贮存时工作电极与参比电极应处于短路状态；</w:t>
      </w:r>
    </w:p>
    <w:p w:rsidR="000842CB" w:rsidRDefault="000842CB" w:rsidP="000842CB">
      <w:pPr>
        <w:pStyle w:val="a3"/>
        <w:numPr>
          <w:ilvl w:val="0"/>
          <w:numId w:val="1"/>
        </w:numPr>
        <w:ind w:firstLineChars="0"/>
      </w:pPr>
      <w:r w:rsidRPr="00F1338E">
        <w:rPr>
          <w:rFonts w:hint="eastAsia"/>
          <w:color w:val="333333"/>
          <w:sz w:val="20"/>
          <w:szCs w:val="20"/>
        </w:rPr>
        <w:t>使用前必须老化不少于</w:t>
      </w:r>
      <w:r w:rsidRPr="00F1338E">
        <w:rPr>
          <w:rFonts w:hint="eastAsia"/>
          <w:color w:val="333333"/>
          <w:sz w:val="20"/>
          <w:szCs w:val="20"/>
        </w:rPr>
        <w:t>24</w:t>
      </w:r>
      <w:r w:rsidRPr="00F1338E">
        <w:rPr>
          <w:rFonts w:hint="eastAsia"/>
          <w:color w:val="333333"/>
          <w:sz w:val="20"/>
          <w:szCs w:val="20"/>
        </w:rPr>
        <w:t>小时，安装时禁用锡焊。</w:t>
      </w:r>
    </w:p>
    <w:p w:rsidR="00EB5AB7" w:rsidRDefault="00D378F6">
      <w:pPr>
        <w:rPr>
          <w:rFonts w:hint="eastAsia"/>
        </w:rPr>
      </w:pPr>
      <w:r>
        <w:rPr>
          <w:rFonts w:hint="eastAsia"/>
        </w:rPr>
        <w:t xml:space="preserve">                                                   </w:t>
      </w:r>
      <w:r>
        <w:rPr>
          <w:rFonts w:hint="eastAsia"/>
        </w:rPr>
        <w:t>上海泰履实业有限公司</w:t>
      </w:r>
    </w:p>
    <w:sectPr w:rsidR="00EB5AB7" w:rsidSect="00840C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56C99"/>
    <w:multiLevelType w:val="hybridMultilevel"/>
    <w:tmpl w:val="F3FA482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42CB"/>
    <w:rsid w:val="000842CB"/>
    <w:rsid w:val="007E786C"/>
    <w:rsid w:val="00D378F6"/>
    <w:rsid w:val="00D900C2"/>
    <w:rsid w:val="00DA6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2C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2C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2015-04-22T14:44:00Z</dcterms:created>
  <dcterms:modified xsi:type="dcterms:W3CDTF">2015-04-22T14:45:00Z</dcterms:modified>
</cp:coreProperties>
</file>